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69" w:rsidRPr="00894669" w:rsidRDefault="00894669" w:rsidP="00894669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MagistralC-Bold" w:hAnsi="MagistralC-Bold" w:cs="MagistralC-Bold"/>
          <w:b/>
          <w:bCs/>
          <w:color w:val="29508F"/>
          <w:sz w:val="42"/>
          <w:szCs w:val="32"/>
        </w:rPr>
      </w:pPr>
      <w:r>
        <w:rPr>
          <w:rFonts w:ascii="MagistralC-Bold" w:hAnsi="MagistralC-Bold" w:cs="MagistralC-Bold"/>
          <w:b/>
          <w:bCs/>
          <w:color w:val="29508F"/>
          <w:sz w:val="42"/>
          <w:szCs w:val="32"/>
        </w:rPr>
        <w:t>ЦМИД-</w:t>
      </w:r>
      <w:proofErr w:type="spellStart"/>
      <w:r>
        <w:rPr>
          <w:rFonts w:ascii="MagistralC-Bold" w:hAnsi="MagistralC-Bold" w:cs="MagistralC-Bold"/>
          <w:b/>
          <w:bCs/>
          <w:color w:val="29508F"/>
          <w:sz w:val="42"/>
          <w:szCs w:val="32"/>
        </w:rPr>
        <w:t>БентГель</w:t>
      </w:r>
      <w:proofErr w:type="spellEnd"/>
    </w:p>
    <w:p w:rsidR="006C1E04" w:rsidRPr="001460C1" w:rsidRDefault="00D76FDF" w:rsidP="001460C1">
      <w:pPr>
        <w:autoSpaceDE w:val="0"/>
        <w:autoSpaceDN w:val="0"/>
        <w:adjustRightInd w:val="0"/>
        <w:spacing w:after="0" w:line="240" w:lineRule="auto"/>
        <w:rPr>
          <w:rFonts w:ascii="MagistralC-Bold" w:hAnsi="MagistralC-Bold" w:cs="MagistralC-Bold"/>
          <w:b/>
          <w:bCs/>
          <w:color w:val="29508F"/>
          <w:sz w:val="32"/>
          <w:szCs w:val="32"/>
        </w:rPr>
      </w:pPr>
      <w:r w:rsidRPr="001460C1">
        <w:rPr>
          <w:rFonts w:ascii="MagistralC-Bold" w:hAnsi="MagistralC-Bold" w:cs="MagistralC-Bold"/>
          <w:b/>
          <w:bCs/>
          <w:color w:val="29508F"/>
          <w:sz w:val="32"/>
          <w:szCs w:val="32"/>
        </w:rPr>
        <w:t>Комплексный реагент для технологии гори</w:t>
      </w:r>
      <w:r w:rsidR="001460C1" w:rsidRPr="001460C1">
        <w:rPr>
          <w:rFonts w:ascii="MagistralC-Bold" w:hAnsi="MagistralC-Bold" w:cs="MagistralC-Bold"/>
          <w:b/>
          <w:bCs/>
          <w:color w:val="29508F"/>
          <w:sz w:val="32"/>
          <w:szCs w:val="32"/>
        </w:rPr>
        <w:t>зонтально-направленного бурения</w:t>
      </w:r>
    </w:p>
    <w:p w:rsidR="00740E0A" w:rsidRDefault="006C1E04" w:rsidP="00437D1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color w:val="2F5496" w:themeColor="accent5" w:themeShade="BF"/>
          <w:sz w:val="24"/>
          <w:szCs w:val="24"/>
        </w:rPr>
      </w:pPr>
      <w:r>
        <w:rPr>
          <w:rFonts w:ascii="Century Gothic" w:hAnsi="Century Gothic" w:cs="Arial"/>
          <w:color w:val="1F5099"/>
          <w:sz w:val="32"/>
          <w:szCs w:val="24"/>
          <w14:textOutline w14:w="9525" w14:cap="rnd" w14:cmpd="sng" w14:algn="ctr">
            <w14:solidFill>
              <w14:srgbClr w14:val="2C5A8C"/>
            </w14:solidFill>
            <w14:prstDash w14:val="solid"/>
            <w14:bevel/>
          </w14:textOutline>
        </w:rPr>
        <w:t xml:space="preserve"> </w:t>
      </w:r>
    </w:p>
    <w:p w:rsidR="001460C1" w:rsidRPr="00AD55C7" w:rsidRDefault="00894669" w:rsidP="001460C1">
      <w:pPr>
        <w:autoSpaceDE w:val="0"/>
        <w:autoSpaceDN w:val="0"/>
        <w:adjustRightInd w:val="0"/>
        <w:spacing w:after="0" w:line="276" w:lineRule="auto"/>
        <w:jc w:val="both"/>
        <w:rPr>
          <w:rFonts w:ascii="DINPro-Regular" w:hAnsi="DINPro-Regular" w:cs="Arial"/>
          <w:b/>
          <w:sz w:val="24"/>
          <w:szCs w:val="24"/>
        </w:rPr>
      </w:pPr>
      <w:r w:rsidRPr="00894669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ЦМИД-БЕНТГЕЛЬ</w:t>
      </w:r>
      <w:r w:rsidR="001460C1" w:rsidRPr="00AD55C7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 xml:space="preserve"> </w:t>
      </w:r>
      <w:r w:rsidR="001460C1" w:rsidRPr="00AD55C7">
        <w:rPr>
          <w:rFonts w:ascii="DINPro-Regular" w:hAnsi="DINPro-Regular" w:cs="Arial"/>
          <w:b/>
          <w:sz w:val="24"/>
          <w:szCs w:val="24"/>
        </w:rPr>
        <w:t xml:space="preserve">УНИВЕРСАЛЬНЫЙ МНОГОКОМПОНЕНТНЫЙ СОСТАВ ДЛЯ ПРИГОТОВЛЕНИЯ БУРОВЫХ РАСТВОРОВ. </w:t>
      </w:r>
    </w:p>
    <w:p w:rsidR="001460C1" w:rsidRPr="001460C1" w:rsidRDefault="001460C1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color w:val="000000"/>
          <w:sz w:val="24"/>
          <w:szCs w:val="24"/>
        </w:rPr>
      </w:pPr>
    </w:p>
    <w:p w:rsidR="00E5337F" w:rsidRDefault="00894669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/>
          <w:sz w:val="24"/>
          <w:szCs w:val="24"/>
        </w:rPr>
      </w:pPr>
      <w:r w:rsidRPr="00894669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ЦМИД-</w:t>
      </w:r>
      <w:proofErr w:type="spellStart"/>
      <w:r w:rsidRPr="00894669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БентГель</w:t>
      </w:r>
      <w:proofErr w:type="spellEnd"/>
      <w:r w:rsidRPr="00894669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 xml:space="preserve"> 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>представляет собой</w:t>
      </w:r>
      <w:r w:rsidR="00D224A8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 готовую к применению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 бентонит-полимерную смесь на основе высококачественного бентонита российского производства и полимерных добавок. Оптимальный состав компонентов позволяет упростить приготовление и наработку бурового раствора </w:t>
      </w:r>
      <w:r w:rsidR="00B86FF5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при 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>производстве работ методом ГНБ в нормальных и тяжелых условиях, а также при сооружении колодцев.</w:t>
      </w:r>
    </w:p>
    <w:p w:rsidR="005B696D" w:rsidRPr="005B696D" w:rsidRDefault="005B696D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color w:val="000000"/>
          <w:sz w:val="24"/>
          <w:szCs w:val="24"/>
        </w:rPr>
      </w:pPr>
    </w:p>
    <w:p w:rsidR="00D22C89" w:rsidRDefault="00D22C89" w:rsidP="00437D1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color w:val="2F5496" w:themeColor="accent5" w:themeShade="BF"/>
          <w:sz w:val="24"/>
          <w:szCs w:val="24"/>
        </w:rPr>
        <w:sectPr w:rsidR="00D22C89" w:rsidSect="00BA7052">
          <w:headerReference w:type="default" r:id="rId8"/>
          <w:footerReference w:type="default" r:id="rId9"/>
          <w:headerReference w:type="first" r:id="rId10"/>
          <w:pgSz w:w="11906" w:h="16838"/>
          <w:pgMar w:top="905" w:right="849" w:bottom="709" w:left="1134" w:header="0" w:footer="709" w:gutter="0"/>
          <w:cols w:space="708"/>
          <w:titlePg/>
          <w:docGrid w:linePitch="360"/>
        </w:sectPr>
      </w:pPr>
    </w:p>
    <w:p w:rsidR="005626F3" w:rsidRPr="00C054F2" w:rsidRDefault="005626F3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  <w:szCs w:val="28"/>
        </w:rPr>
      </w:pPr>
      <w:r w:rsidRPr="00C054F2">
        <w:rPr>
          <w:rFonts w:ascii="DINPro-Regular" w:eastAsia="Tahoma-Bold" w:hAnsi="DINPro-Regular"/>
          <w:b/>
          <w:color w:val="29508F"/>
          <w:sz w:val="24"/>
          <w:szCs w:val="28"/>
        </w:rPr>
        <w:lastRenderedPageBreak/>
        <w:t>ОБЛАСТЬ ПРИМЕНЕНИЯ</w:t>
      </w:r>
    </w:p>
    <w:p w:rsidR="00D224A8" w:rsidRPr="00AD55C7" w:rsidRDefault="00D224A8" w:rsidP="00B86FF5">
      <w:pPr>
        <w:pStyle w:val="ad"/>
        <w:spacing w:after="0" w:line="240" w:lineRule="auto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 xml:space="preserve">Применяется при бурении для стабилизации стенок скважины и выноса выбуренного шлама при проведении работ: 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методом горизонтально-направленного бурения (ГНБ);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методом колонкового бурения;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 xml:space="preserve">при </w:t>
      </w:r>
      <w:proofErr w:type="spellStart"/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микротоннелировании</w:t>
      </w:r>
      <w:proofErr w:type="spellEnd"/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;</w:t>
      </w:r>
    </w:p>
    <w:p w:rsidR="001460C1" w:rsidRPr="00AD55C7" w:rsidRDefault="001460C1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при бурении неустойчивых, высокопроницаемых, трещиноватых и слабосцементированных пород, склонных к осыпям и обвалам</w:t>
      </w:r>
      <w:r w:rsidR="001471EA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;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при строите</w:t>
      </w:r>
      <w:r w:rsidR="001460C1"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льстве методом «стена в грунте»;</w:t>
      </w:r>
    </w:p>
    <w:p w:rsidR="00130806" w:rsidRPr="00130806" w:rsidRDefault="00130806" w:rsidP="00677908">
      <w:pPr>
        <w:pStyle w:val="ad"/>
        <w:spacing w:after="0" w:line="240" w:lineRule="auto"/>
        <w:rPr>
          <w:rFonts w:eastAsia="Tahoma-Bold"/>
          <w:color w:val="1F5099"/>
        </w:rPr>
      </w:pPr>
    </w:p>
    <w:p w:rsidR="00906CB2" w:rsidRPr="00C054F2" w:rsidRDefault="00906CB2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СВОЙСТВА</w:t>
      </w:r>
    </w:p>
    <w:p w:rsidR="004E3AEA" w:rsidRPr="00AD55C7" w:rsidRDefault="004E3AEA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К особым свойствам материала относятся:</w:t>
      </w:r>
    </w:p>
    <w:p w:rsidR="00004D30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простое и быстрое приготовление бурового раствора</w:t>
      </w:r>
      <w:r w:rsidR="006F48F6" w:rsidRPr="00AD55C7">
        <w:rPr>
          <w:rFonts w:ascii="DINPro-Regular" w:hAnsi="DINPro-Regular" w:cs="Arial"/>
          <w:sz w:val="24"/>
          <w:szCs w:val="24"/>
        </w:rPr>
        <w:t xml:space="preserve"> - легко размешивается в смесителях любого типа, применяемых в бурении</w:t>
      </w:r>
      <w:r w:rsidRPr="00AD55C7">
        <w:rPr>
          <w:rFonts w:ascii="DINPro-Regular" w:hAnsi="DINPro-Regular" w:cs="Arial"/>
          <w:sz w:val="24"/>
          <w:szCs w:val="24"/>
        </w:rPr>
        <w:t>;</w:t>
      </w:r>
    </w:p>
    <w:p w:rsidR="00004D30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 xml:space="preserve">не </w:t>
      </w:r>
      <w:r w:rsidR="006F48F6" w:rsidRPr="00AD55C7">
        <w:rPr>
          <w:rFonts w:ascii="DINPro-Regular" w:hAnsi="DINPro-Regular" w:cs="Arial"/>
          <w:sz w:val="24"/>
          <w:szCs w:val="24"/>
        </w:rPr>
        <w:t xml:space="preserve">требует водоподготовки (регуляции </w:t>
      </w:r>
      <w:proofErr w:type="spellStart"/>
      <w:r w:rsidR="006F48F6" w:rsidRPr="00AD55C7">
        <w:rPr>
          <w:rFonts w:ascii="DINPro-Regular" w:hAnsi="DINPro-Regular" w:cs="Arial"/>
          <w:sz w:val="24"/>
          <w:szCs w:val="24"/>
        </w:rPr>
        <w:t>pH</w:t>
      </w:r>
      <w:proofErr w:type="spellEnd"/>
      <w:r w:rsidR="006F48F6" w:rsidRPr="00AD55C7">
        <w:rPr>
          <w:rFonts w:ascii="DINPro-Regular" w:hAnsi="DINPro-Regular" w:cs="Arial"/>
          <w:sz w:val="24"/>
          <w:szCs w:val="24"/>
        </w:rPr>
        <w:t>)</w:t>
      </w:r>
      <w:r w:rsidRPr="00AD55C7">
        <w:rPr>
          <w:rFonts w:ascii="DINPro-Regular" w:hAnsi="DINPro-Regular" w:cs="Arial"/>
          <w:sz w:val="24"/>
          <w:szCs w:val="24"/>
        </w:rPr>
        <w:t>;</w:t>
      </w:r>
    </w:p>
    <w:p w:rsidR="005D56C8" w:rsidRPr="00AD55C7" w:rsidRDefault="005D56C8" w:rsidP="005D56C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совместимость с любыми типами полимеров, применяемыми для обработки буровых растворов</w:t>
      </w:r>
      <w:r>
        <w:rPr>
          <w:rFonts w:ascii="DINPro-Regular" w:hAnsi="DINPro-Regular" w:cs="Arial"/>
          <w:sz w:val="24"/>
          <w:szCs w:val="24"/>
        </w:rPr>
        <w:t>;</w:t>
      </w:r>
    </w:p>
    <w:p w:rsidR="006F48F6" w:rsidRPr="00AD55C7" w:rsidRDefault="006F48F6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простая регулировка параметров раствора за счет изменения концентрации;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высокие реологические параметры при низких концентрациях;</w:t>
      </w:r>
    </w:p>
    <w:p w:rsidR="00D24BC9" w:rsidRPr="00AD55C7" w:rsidRDefault="00D24BC9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высокий уровень очистки скважины от шлама;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низкий показатель водоотдачи;</w:t>
      </w:r>
    </w:p>
    <w:p w:rsidR="006F48F6" w:rsidRPr="00AD55C7" w:rsidRDefault="006F48F6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низкое содержание песка;</w:t>
      </w:r>
    </w:p>
    <w:p w:rsidR="009429E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lastRenderedPageBreak/>
        <w:t xml:space="preserve">экологическая </w:t>
      </w:r>
      <w:r w:rsidR="00537C0C">
        <w:rPr>
          <w:rFonts w:ascii="DINPro-Regular" w:hAnsi="DINPro-Regular" w:cs="Arial"/>
          <w:sz w:val="24"/>
          <w:szCs w:val="24"/>
        </w:rPr>
        <w:t>безопасность.</w:t>
      </w:r>
    </w:p>
    <w:p w:rsidR="00130806" w:rsidRPr="00130806" w:rsidRDefault="00130806" w:rsidP="00677908">
      <w:pPr>
        <w:pStyle w:val="ad"/>
        <w:spacing w:after="0" w:line="240" w:lineRule="auto"/>
        <w:rPr>
          <w:rFonts w:eastAsia="Tahoma-Bold"/>
          <w:color w:val="1F5099"/>
        </w:rPr>
      </w:pPr>
    </w:p>
    <w:p w:rsidR="00AD2270" w:rsidRPr="00C054F2" w:rsidRDefault="00F90A8C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ПОРЯДОК РАБОТЫ</w:t>
      </w:r>
    </w:p>
    <w:p w:rsidR="00F04EA7" w:rsidRPr="00AD55C7" w:rsidRDefault="008F1FE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4"/>
        </w:rPr>
        <w:t>1. Подготовительные работы</w:t>
      </w:r>
    </w:p>
    <w:p w:rsidR="008F1FE4" w:rsidRPr="00AD55C7" w:rsidRDefault="00004D30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Перед приготовлением раствора на основе </w:t>
      </w:r>
      <w:r w:rsidR="00894669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ЦМИД-</w:t>
      </w:r>
      <w:proofErr w:type="spellStart"/>
      <w:r w:rsidR="00894669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БентГель</w:t>
      </w:r>
      <w:proofErr w:type="spellEnd"/>
      <w:r w:rsidRPr="00F60E0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,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рекомендуется удалить остатки предыдущего раствора и очистить ёмкость для приготовления бурового раствора. 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Температура 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воды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должна быть не менее +</w:t>
      </w:r>
      <w:r w:rsidR="00BA7052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3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°С.</w:t>
      </w:r>
    </w:p>
    <w:p w:rsidR="008F1FE4" w:rsidRPr="00AD55C7" w:rsidRDefault="008F1FE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8"/>
        </w:rPr>
      </w:pPr>
      <w:r w:rsidRPr="00AD55C7"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8"/>
        </w:rPr>
        <w:t>2. Приготовление состава</w:t>
      </w:r>
    </w:p>
    <w:p w:rsidR="003E3515" w:rsidRPr="00AD55C7" w:rsidRDefault="00BA7052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Приготовление раствора производится путем медленного введения продукта в емкость с технической водой при включенном смесителе или через </w:t>
      </w:r>
      <w:proofErr w:type="spellStart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гидроворонку</w:t>
      </w:r>
      <w:proofErr w:type="spellEnd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/ струйную мешалку в концентрации</w:t>
      </w:r>
      <w:r w:rsidRPr="00AD55C7">
        <w:rPr>
          <w:rFonts w:ascii="DINPro-Regular" w:eastAsia="Tahoma-Bold" w:hAnsi="DINPro-Regular" w:cs="Arial"/>
          <w:b/>
          <w:bCs/>
          <w:color w:val="000000" w:themeColor="text1"/>
          <w:sz w:val="24"/>
          <w:szCs w:val="24"/>
        </w:rPr>
        <w:t>*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2,5 – 3,</w:t>
      </w:r>
      <w:r w:rsidR="00D8734F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5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% (25 – 30 кг/м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  <w:vertAlign w:val="superscript"/>
        </w:rPr>
        <w:t>3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). Время перемешивания раствора до полного роспуска реагента с момента </w:t>
      </w:r>
      <w:proofErr w:type="spellStart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затворения</w:t>
      </w:r>
      <w:proofErr w:type="spellEnd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– 10 - 20 минут.</w:t>
      </w:r>
    </w:p>
    <w:p w:rsidR="00041544" w:rsidRDefault="00BA7052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</w:pPr>
      <w:r w:rsidRPr="00F17A6D">
        <w:rPr>
          <w:rFonts w:ascii="Arial" w:eastAsia="Tahoma-Bold" w:hAnsi="Arial" w:cs="Arial"/>
          <w:b/>
          <w:bCs/>
          <w:color w:val="000000" w:themeColor="text1"/>
          <w:sz w:val="28"/>
          <w:szCs w:val="24"/>
        </w:rPr>
        <w:t>*</w:t>
      </w:r>
      <w:r w:rsidRPr="00F17A6D">
        <w:rPr>
          <w:rFonts w:ascii="Arial" w:eastAsia="Tahoma-Bold" w:hAnsi="Arial" w:cs="Arial"/>
          <w:bCs/>
          <w:color w:val="000000" w:themeColor="text1"/>
          <w:sz w:val="28"/>
          <w:szCs w:val="24"/>
        </w:rPr>
        <w:t xml:space="preserve"> </w:t>
      </w:r>
      <w:r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>концентрация определ</w:t>
      </w:r>
      <w:r w:rsidR="00DC6440"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 xml:space="preserve">яется в зависимости от заданных </w:t>
      </w:r>
      <w:r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>свойств бурового раствора, обусловленных горно-геологическими условиями интервалов скважины.</w:t>
      </w:r>
    </w:p>
    <w:tbl>
      <w:tblPr>
        <w:tblStyle w:val="a4"/>
        <w:tblW w:w="4815" w:type="dxa"/>
        <w:tblLook w:val="04A0" w:firstRow="1" w:lastRow="0" w:firstColumn="1" w:lastColumn="0" w:noHBand="0" w:noVBand="1"/>
      </w:tblPr>
      <w:tblGrid>
        <w:gridCol w:w="2547"/>
        <w:gridCol w:w="2268"/>
      </w:tblGrid>
      <w:tr w:rsidR="00F17A6D" w:rsidRPr="00B86FF5" w:rsidTr="001850B5">
        <w:tc>
          <w:tcPr>
            <w:tcW w:w="2547" w:type="dxa"/>
            <w:shd w:val="clear" w:color="auto" w:fill="305DA6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Тип грунта</w:t>
            </w:r>
          </w:p>
        </w:tc>
        <w:tc>
          <w:tcPr>
            <w:tcW w:w="2268" w:type="dxa"/>
            <w:shd w:val="clear" w:color="auto" w:fill="305DA6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Концентрация (кг/м</w:t>
            </w: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  <w:vertAlign w:val="superscript"/>
              </w:rPr>
              <w:t>3</w:t>
            </w: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)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Глины</w:t>
            </w:r>
            <w:r w:rsidR="00D24BC9"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. суглинок</w:t>
            </w: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, илы</w:t>
            </w:r>
          </w:p>
        </w:tc>
        <w:tc>
          <w:tcPr>
            <w:tcW w:w="2268" w:type="dxa"/>
            <w:vAlign w:val="center"/>
          </w:tcPr>
          <w:p w:rsidR="00F23730" w:rsidRPr="00B86FF5" w:rsidRDefault="00F23730" w:rsidP="002522F7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 xml:space="preserve">20 - </w:t>
            </w:r>
            <w:r w:rsidR="002522F7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30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Мелко- и среднезернистые пески</w:t>
            </w:r>
          </w:p>
        </w:tc>
        <w:tc>
          <w:tcPr>
            <w:tcW w:w="2268" w:type="dxa"/>
            <w:vAlign w:val="center"/>
          </w:tcPr>
          <w:p w:rsidR="00F23730" w:rsidRPr="00B86FF5" w:rsidRDefault="002522F7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30 -35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2522F7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Крупнозернистые пески, гравий, галька</w:t>
            </w:r>
            <w:r w:rsidR="002522F7" w:rsidRPr="002522F7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/</w:t>
            </w:r>
            <w:r w:rsidR="002522F7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р-р с низкой фильтрацией</w:t>
            </w:r>
          </w:p>
        </w:tc>
        <w:tc>
          <w:tcPr>
            <w:tcW w:w="2268" w:type="dxa"/>
            <w:vAlign w:val="center"/>
          </w:tcPr>
          <w:p w:rsidR="00F23730" w:rsidRPr="00B86FF5" w:rsidRDefault="002522F7" w:rsidP="002522F7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35-40</w:t>
            </w:r>
          </w:p>
        </w:tc>
      </w:tr>
    </w:tbl>
    <w:p w:rsidR="00190E4E" w:rsidRDefault="00190E4E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b/>
          <w:color w:val="29508F"/>
          <w:sz w:val="24"/>
        </w:rPr>
      </w:pPr>
    </w:p>
    <w:p w:rsidR="00041544" w:rsidRPr="00C054F2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ПРИМЕЧАНИЕ</w:t>
      </w:r>
    </w:p>
    <w:p w:rsidR="00041544" w:rsidRPr="00F70846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sz w:val="24"/>
        </w:rPr>
      </w:pPr>
      <w:r w:rsidRPr="00F70846">
        <w:rPr>
          <w:rFonts w:ascii="DINPro-Regular" w:eastAsia="Tahoma-Bold" w:hAnsi="DINPro-Regular" w:cs="Arial"/>
          <w:sz w:val="24"/>
        </w:rPr>
        <w:t>В пункте «Порядок работы» представлены лишь общие указания по</w:t>
      </w:r>
      <w:r w:rsidR="007B1321" w:rsidRPr="00F70846">
        <w:rPr>
          <w:rFonts w:ascii="DINPro-Regular" w:eastAsia="Tahoma-Bold" w:hAnsi="DINPro-Regular" w:cs="Arial"/>
          <w:sz w:val="24"/>
        </w:rPr>
        <w:t xml:space="preserve"> </w:t>
      </w:r>
      <w:r w:rsidRPr="00F70846">
        <w:rPr>
          <w:rFonts w:ascii="DINPro-Regular" w:eastAsia="Tahoma-Bold" w:hAnsi="DINPro-Regular" w:cs="Arial"/>
          <w:sz w:val="24"/>
        </w:rPr>
        <w:t>применению. Производитель работ,</w:t>
      </w:r>
      <w:r w:rsidR="007B1321" w:rsidRPr="00F70846">
        <w:rPr>
          <w:rFonts w:ascii="DINPro-Regular" w:eastAsia="Tahoma-Bold" w:hAnsi="DINPro-Regular" w:cs="Arial"/>
          <w:sz w:val="24"/>
        </w:rPr>
        <w:t xml:space="preserve"> </w:t>
      </w:r>
      <w:r w:rsidRPr="00F70846">
        <w:rPr>
          <w:rFonts w:ascii="DINPro-Regular" w:eastAsia="Tahoma-Bold" w:hAnsi="DINPro-Regular" w:cs="Arial"/>
          <w:sz w:val="24"/>
        </w:rPr>
        <w:t xml:space="preserve">применяющий материал, обязан сам определять возможность его </w:t>
      </w:r>
      <w:r w:rsidRPr="00F70846">
        <w:rPr>
          <w:rFonts w:ascii="DINPro-Regular" w:eastAsia="Tahoma-Bold" w:hAnsi="DINPro-Regular" w:cs="Arial"/>
          <w:sz w:val="24"/>
        </w:rPr>
        <w:lastRenderedPageBreak/>
        <w:t xml:space="preserve">применения для конкретных целей. За дополнительными рекомендациями следует обратиться к специалистам компании </w:t>
      </w:r>
      <w:r w:rsidRPr="00F70846">
        <w:rPr>
          <w:rFonts w:ascii="DINPro-Regular" w:eastAsia="Tahoma-Bold" w:hAnsi="DINPro-Regular" w:cs="Arial"/>
          <w:b/>
          <w:sz w:val="24"/>
        </w:rPr>
        <w:t>ЗАО «НП ЦМИД»</w:t>
      </w:r>
      <w:r w:rsidRPr="00F70846">
        <w:rPr>
          <w:rFonts w:ascii="DINPro-Regular" w:eastAsia="Tahoma-Bold" w:hAnsi="DINPro-Regular" w:cs="Arial"/>
          <w:sz w:val="24"/>
        </w:rPr>
        <w:t>.</w:t>
      </w:r>
    </w:p>
    <w:p w:rsidR="00F70846" w:rsidRDefault="00F7084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color w:val="29508F"/>
          <w:sz w:val="24"/>
        </w:rPr>
      </w:pPr>
    </w:p>
    <w:p w:rsidR="001850B5" w:rsidRPr="001223A1" w:rsidRDefault="00F7084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b/>
          <w:color w:val="29508F"/>
          <w:sz w:val="24"/>
        </w:rPr>
      </w:pPr>
      <w:r w:rsidRPr="001223A1">
        <w:rPr>
          <w:rFonts w:ascii="DINPro-Regular" w:eastAsia="Tahoma-Bold" w:hAnsi="DINPro-Regular"/>
          <w:b/>
          <w:color w:val="29508F"/>
          <w:sz w:val="24"/>
        </w:rPr>
        <w:t>УПАКОВКА</w:t>
      </w:r>
    </w:p>
    <w:p w:rsidR="0070579E" w:rsidRPr="00B86FF5" w:rsidRDefault="00B70005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B86FF5">
        <w:rPr>
          <w:rFonts w:ascii="DINPro-Regular" w:hAnsi="DINPro-Regular" w:cs="Arial"/>
          <w:color w:val="000000"/>
          <w:sz w:val="24"/>
          <w:szCs w:val="24"/>
        </w:rPr>
        <w:t>Материал поставляется в мешках с полиэтиленовым вкладышем массой 25 кг</w:t>
      </w:r>
      <w:r w:rsidR="00F23730" w:rsidRPr="00B86FF5">
        <w:rPr>
          <w:rFonts w:ascii="DINPro-Regular" w:hAnsi="DINPro-Regular" w:cs="Arial"/>
          <w:color w:val="000000"/>
          <w:sz w:val="24"/>
          <w:szCs w:val="24"/>
        </w:rPr>
        <w:t xml:space="preserve">, </w:t>
      </w:r>
      <w:r w:rsidRPr="00B86FF5">
        <w:rPr>
          <w:rFonts w:ascii="DINPro-Regular" w:hAnsi="DINPro-Regular" w:cs="Arial"/>
          <w:color w:val="000000"/>
          <w:sz w:val="24"/>
          <w:szCs w:val="24"/>
        </w:rPr>
        <w:t>мешки Биг-Бег по 750 кг.</w:t>
      </w:r>
    </w:p>
    <w:p w:rsidR="00B86FF5" w:rsidRPr="00B86FF5" w:rsidRDefault="00B86FF5" w:rsidP="00B86FF5">
      <w:pPr>
        <w:pStyle w:val="ad"/>
        <w:spacing w:after="0" w:line="240" w:lineRule="auto"/>
        <w:rPr>
          <w:rFonts w:ascii="DINPro-Regular" w:eastAsia="Tahoma-Bold" w:hAnsi="DINPro-Regular"/>
          <w:b/>
          <w:color w:val="1F5099"/>
          <w:sz w:val="24"/>
        </w:rPr>
      </w:pPr>
    </w:p>
    <w:p w:rsidR="005626F3" w:rsidRPr="00C054F2" w:rsidRDefault="005626F3" w:rsidP="00B86FF5">
      <w:pPr>
        <w:pStyle w:val="ad"/>
        <w:spacing w:after="0" w:line="240" w:lineRule="auto"/>
        <w:rPr>
          <w:rFonts w:ascii="DINPro-Regular" w:eastAsia="Tahoma-Bold" w:hAnsi="DINPro-Regular"/>
          <w:b/>
          <w:color w:val="1F5099"/>
          <w:sz w:val="24"/>
        </w:rPr>
      </w:pPr>
      <w:r w:rsidRPr="00C054F2">
        <w:rPr>
          <w:rFonts w:ascii="DINPro-Regular" w:eastAsia="Tahoma-Bold" w:hAnsi="DINPro-Regular"/>
          <w:b/>
          <w:color w:val="1F5099"/>
          <w:sz w:val="24"/>
        </w:rPr>
        <w:t>УСЛОВИЯ И СРОК ХРАНЕНИЯ</w:t>
      </w:r>
    </w:p>
    <w:p w:rsidR="00137E26" w:rsidRPr="00F70846" w:rsidRDefault="00C001C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F70846">
        <w:rPr>
          <w:rFonts w:ascii="DINPro-Regular" w:hAnsi="DINPro-Regular" w:cs="Arial"/>
          <w:color w:val="000000"/>
          <w:sz w:val="24"/>
          <w:szCs w:val="24"/>
        </w:rPr>
        <w:t>12 месяцев с даты изготовления в закрытой оригинальной упаковке в сух</w:t>
      </w:r>
      <w:r w:rsidR="00971269" w:rsidRPr="00F70846">
        <w:rPr>
          <w:rFonts w:ascii="DINPro-Regular" w:hAnsi="DINPro-Regular" w:cs="Arial"/>
          <w:color w:val="000000"/>
          <w:sz w:val="24"/>
          <w:szCs w:val="24"/>
        </w:rPr>
        <w:t>ом помещении при температуре +</w:t>
      </w:r>
      <w:proofErr w:type="gramStart"/>
      <w:r w:rsidR="00971269" w:rsidRPr="00F70846">
        <w:rPr>
          <w:rFonts w:ascii="DINPro-Regular" w:hAnsi="DINPro-Regular" w:cs="Arial"/>
          <w:color w:val="000000"/>
          <w:sz w:val="24"/>
          <w:szCs w:val="24"/>
        </w:rPr>
        <w:t xml:space="preserve">5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 xml:space="preserve"> +</w:t>
      </w:r>
      <w:proofErr w:type="gramEnd"/>
      <w:r w:rsidRPr="00F70846">
        <w:rPr>
          <w:rFonts w:ascii="DINPro-Regular" w:hAnsi="DINPro-Regular" w:cs="Arial"/>
          <w:color w:val="000000"/>
          <w:sz w:val="24"/>
          <w:szCs w:val="24"/>
        </w:rPr>
        <w:t>30</w:t>
      </w:r>
      <w:r w:rsidRPr="00F70846">
        <w:rPr>
          <w:rFonts w:ascii="DINPro-Regular" w:eastAsia="Tahoma-Bold" w:hAnsi="DINPro-Regular" w:cs="Arial"/>
          <w:color w:val="000000"/>
          <w:sz w:val="24"/>
          <w:szCs w:val="24"/>
        </w:rPr>
        <w:t>°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С.</w:t>
      </w:r>
    </w:p>
    <w:p w:rsidR="00147AA3" w:rsidRDefault="00147AA3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</w:p>
    <w:p w:rsidR="005626F3" w:rsidRPr="00C054F2" w:rsidRDefault="005626F3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lastRenderedPageBreak/>
        <w:t>ТРАНСПОРТИРОВКА</w:t>
      </w:r>
    </w:p>
    <w:p w:rsidR="005626F3" w:rsidRPr="00F70846" w:rsidRDefault="005626F3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F70846">
        <w:rPr>
          <w:rFonts w:ascii="DINPro-Regular" w:hAnsi="DINPro-Regular" w:cs="Arial"/>
          <w:color w:val="000000"/>
          <w:sz w:val="24"/>
          <w:szCs w:val="24"/>
        </w:rPr>
        <w:t>Любым видом транспорта в соответствии с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правилами перевозки грузов, действующих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на данном виде транспорта. Обязательное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предохранение упаковки от механических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повреждений при перевозке.</w:t>
      </w:r>
    </w:p>
    <w:p w:rsidR="00E5337F" w:rsidRDefault="00E5337F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1544" w:rsidRPr="00C054F2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b/>
          <w:color w:val="1F5099"/>
          <w:sz w:val="24"/>
          <w:szCs w:val="24"/>
        </w:rPr>
      </w:pPr>
      <w:r w:rsidRPr="00C054F2">
        <w:rPr>
          <w:rFonts w:ascii="DINPro-Regular" w:hAnsi="DINPro-Regular" w:cs="Arial"/>
          <w:b/>
          <w:color w:val="1F5099"/>
          <w:sz w:val="24"/>
          <w:szCs w:val="24"/>
        </w:rPr>
        <w:t>МЕРЫ ПРЕДОСТОРОЖНОСТИ</w:t>
      </w:r>
    </w:p>
    <w:p w:rsidR="005B696D" w:rsidRPr="00F70846" w:rsidRDefault="005B696D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F70846">
        <w:rPr>
          <w:rFonts w:ascii="DINPro-Regular" w:hAnsi="DINPro-Regular" w:cs="Arial"/>
          <w:sz w:val="24"/>
          <w:szCs w:val="24"/>
        </w:rPr>
        <w:t>Материал является малоопасной по степени воздействия на организм продукцией – 4 класс опасности.</w:t>
      </w:r>
    </w:p>
    <w:p w:rsidR="006626F8" w:rsidRPr="00F70846" w:rsidRDefault="006626F8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F70846">
        <w:rPr>
          <w:rFonts w:ascii="DINPro-Regular" w:hAnsi="DINPro-Regular" w:cs="Arial"/>
          <w:sz w:val="24"/>
          <w:szCs w:val="24"/>
        </w:rPr>
        <w:t xml:space="preserve">Материал не содержит в своем составе летучих органических компонентов и является </w:t>
      </w:r>
      <w:proofErr w:type="spellStart"/>
      <w:r w:rsidR="00B70005" w:rsidRPr="00F70846">
        <w:rPr>
          <w:rFonts w:ascii="DINPro-Regular" w:hAnsi="DINPro-Regular" w:cs="Arial"/>
          <w:sz w:val="24"/>
          <w:szCs w:val="24"/>
        </w:rPr>
        <w:t>пожаровзрывобезопасным</w:t>
      </w:r>
      <w:proofErr w:type="spellEnd"/>
      <w:r w:rsidRPr="00F70846">
        <w:rPr>
          <w:rFonts w:ascii="DINPro-Regular" w:hAnsi="DINPro-Regular" w:cs="Arial"/>
          <w:sz w:val="24"/>
          <w:szCs w:val="24"/>
        </w:rPr>
        <w:t>.</w:t>
      </w:r>
    </w:p>
    <w:p w:rsidR="0070579E" w:rsidRPr="00041544" w:rsidRDefault="0070579E" w:rsidP="0070579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2C89" w:rsidRDefault="00D22C89" w:rsidP="008F1FE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  <w:sectPr w:rsidR="00D22C89" w:rsidSect="002C6355">
          <w:type w:val="continuous"/>
          <w:pgSz w:w="11906" w:h="16838"/>
          <w:pgMar w:top="639" w:right="849" w:bottom="709" w:left="1134" w:header="0" w:footer="709" w:gutter="0"/>
          <w:cols w:num="2" w:space="282"/>
          <w:titlePg/>
          <w:docGrid w:linePitch="360"/>
        </w:sectPr>
      </w:pPr>
    </w:p>
    <w:p w:rsidR="00130806" w:rsidRDefault="00130806" w:rsidP="00130806"/>
    <w:p w:rsidR="00137E26" w:rsidRPr="00AB7B7C" w:rsidRDefault="00F17A6D" w:rsidP="00F90A8C">
      <w:pPr>
        <w:pStyle w:val="ad"/>
        <w:spacing w:after="0"/>
        <w:jc w:val="center"/>
        <w:rPr>
          <w:rFonts w:ascii="DINPro-Regular" w:hAnsi="DINPro-Regular"/>
          <w:color w:val="1F5099"/>
          <w:sz w:val="24"/>
        </w:rPr>
      </w:pPr>
      <w:r w:rsidRPr="00F17A6D">
        <w:rPr>
          <w:rFonts w:ascii="DINPro-Regular" w:hAnsi="DINPro-Regular"/>
          <w:color w:val="1F5099"/>
          <w:sz w:val="24"/>
        </w:rPr>
        <w:t xml:space="preserve">ТЕХНИЧЕСКИЕ ХАРАКТЕРИСТИКИ </w:t>
      </w:r>
      <w:r w:rsidR="00AB7B7C">
        <w:rPr>
          <w:rFonts w:ascii="DINPro-Regular" w:hAnsi="DINPro-Regular"/>
          <w:color w:val="1F5099"/>
          <w:sz w:val="24"/>
        </w:rPr>
        <w:t>ЦМИД-</w:t>
      </w:r>
      <w:proofErr w:type="spellStart"/>
      <w:r w:rsidR="00AB7B7C">
        <w:rPr>
          <w:rFonts w:ascii="DINPro-Regular" w:hAnsi="DINPro-Regular"/>
          <w:color w:val="1F5099"/>
          <w:sz w:val="24"/>
        </w:rPr>
        <w:t>БентГель</w:t>
      </w:r>
      <w:bookmarkStart w:id="0" w:name="_GoBack"/>
      <w:bookmarkEnd w:id="0"/>
      <w:proofErr w:type="spellEnd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85"/>
        <w:gridCol w:w="3476"/>
      </w:tblGrid>
      <w:tr w:rsidR="00F17A6D" w:rsidRPr="00F70846" w:rsidTr="00F70846">
        <w:trPr>
          <w:trHeight w:val="580"/>
          <w:jc w:val="center"/>
        </w:trPr>
        <w:tc>
          <w:tcPr>
            <w:tcW w:w="4673" w:type="dxa"/>
            <w:shd w:val="clear" w:color="auto" w:fill="305DA6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5" w:type="dxa"/>
            <w:shd w:val="clear" w:color="auto" w:fill="305DA6"/>
            <w:vAlign w:val="center"/>
          </w:tcPr>
          <w:p w:rsidR="001850B5" w:rsidRPr="00F70846" w:rsidRDefault="001850B5" w:rsidP="001850B5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 xml:space="preserve">Единица </w:t>
            </w:r>
          </w:p>
          <w:p w:rsidR="00F17A6D" w:rsidRPr="00F70846" w:rsidRDefault="001850B5" w:rsidP="001850B5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измерения</w:t>
            </w:r>
          </w:p>
        </w:tc>
        <w:tc>
          <w:tcPr>
            <w:tcW w:w="3476" w:type="dxa"/>
            <w:shd w:val="clear" w:color="auto" w:fill="305DA6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0B53C6" w:rsidRPr="00F70846" w:rsidTr="00F70846">
        <w:trPr>
          <w:trHeight w:val="565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:rsidR="000B53C6" w:rsidRPr="00F70846" w:rsidRDefault="000B53C6" w:rsidP="00E94C6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Внешний вид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0B53C6" w:rsidRPr="00F70846" w:rsidRDefault="000B53C6" w:rsidP="00E94C6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0B53C6" w:rsidRPr="00F70846" w:rsidRDefault="000B53C6" w:rsidP="000B53C6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порошок от коричневого</w:t>
            </w:r>
          </w:p>
          <w:p w:rsidR="000B53C6" w:rsidRPr="00F70846" w:rsidRDefault="000B53C6" w:rsidP="000B53C6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до светло - серого цвета</w:t>
            </w:r>
          </w:p>
        </w:tc>
      </w:tr>
      <w:tr w:rsidR="00F90A8C" w:rsidRPr="00F70846" w:rsidTr="00F70846">
        <w:trPr>
          <w:trHeight w:val="299"/>
          <w:jc w:val="center"/>
        </w:trPr>
        <w:tc>
          <w:tcPr>
            <w:tcW w:w="9634" w:type="dxa"/>
            <w:gridSpan w:val="3"/>
            <w:shd w:val="clear" w:color="auto" w:fill="FFFFFF" w:themeFill="background1"/>
            <w:vAlign w:val="center"/>
          </w:tcPr>
          <w:p w:rsidR="00F90A8C" w:rsidRPr="00F70846" w:rsidRDefault="004C6139" w:rsidP="004C6139">
            <w:pPr>
              <w:pStyle w:val="a7"/>
              <w:jc w:val="center"/>
              <w:rPr>
                <w:rFonts w:ascii="DINPro-Regular" w:hAnsi="DINPro-Regular" w:cs="Arial"/>
                <w:b w:val="0"/>
                <w:color w:val="1F5099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1F5099"/>
                <w:sz w:val="24"/>
                <w:szCs w:val="24"/>
              </w:rPr>
              <w:t>РЕОЛОГИЧЕСКИЕ ХАРАКТЕРИСТИКИ РАСТВОРА</w:t>
            </w:r>
          </w:p>
        </w:tc>
      </w:tr>
      <w:tr w:rsidR="00F90A8C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AC5E28" w:rsidRPr="00F70846" w:rsidRDefault="00AC5E28" w:rsidP="00931396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Плотность при 2</w:t>
            </w:r>
            <w:r w:rsidR="00C20E63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о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485" w:type="dxa"/>
            <w:vAlign w:val="center"/>
          </w:tcPr>
          <w:p w:rsidR="00F90A8C" w:rsidRPr="00F70846" w:rsidRDefault="00F90A8C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г/см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6" w:type="dxa"/>
            <w:vAlign w:val="center"/>
          </w:tcPr>
          <w:p w:rsidR="00AC5E28" w:rsidRPr="00F70846" w:rsidRDefault="00AC5E28" w:rsidP="004C6139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1,</w:t>
            </w:r>
            <w:r w:rsidR="00971269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0</w:t>
            </w:r>
            <w:r w:rsidR="004C6139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4</w:t>
            </w:r>
            <w:r w:rsidR="000B53C6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± 0,02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0B53C6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Условная (кажущаяся) вязкость водного раствора  с массовой долей 2,5% при температуре (20,0 ± 0,2)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</w:t>
            </w:r>
          </w:p>
        </w:tc>
        <w:tc>
          <w:tcPr>
            <w:tcW w:w="3476" w:type="dxa"/>
            <w:vAlign w:val="center"/>
          </w:tcPr>
          <w:p w:rsidR="00F17A6D" w:rsidRPr="00F70846" w:rsidRDefault="00F17A6D" w:rsidP="005D56C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не менее </w:t>
            </w:r>
            <w:r w:rsidR="005D56C8">
              <w:rPr>
                <w:rFonts w:ascii="DINPro-Regular" w:hAnsi="DINPro-Regular" w:cs="Arial"/>
                <w:b w:val="0"/>
                <w:sz w:val="24"/>
                <w:szCs w:val="24"/>
              </w:rPr>
              <w:t>30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4C6139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Эффективная (структурная) вязкость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мПа·с</w:t>
            </w:r>
            <w:proofErr w:type="spellEnd"/>
          </w:p>
        </w:tc>
        <w:tc>
          <w:tcPr>
            <w:tcW w:w="3476" w:type="dxa"/>
            <w:vAlign w:val="center"/>
          </w:tcPr>
          <w:p w:rsidR="00F17A6D" w:rsidRPr="00F70846" w:rsidRDefault="00F17A6D" w:rsidP="005D56C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1</w:t>
            </w:r>
            <w:r w:rsidR="005D56C8">
              <w:rPr>
                <w:rFonts w:ascii="DINPro-Regular" w:hAnsi="DINPro-Regular" w:cs="Arial"/>
                <w:b w:val="0"/>
                <w:sz w:val="24"/>
                <w:szCs w:val="24"/>
              </w:rPr>
              <w:t>0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0B53C6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Пластическая вязкость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мПа·с</w:t>
            </w:r>
            <w:proofErr w:type="spellEnd"/>
          </w:p>
        </w:tc>
        <w:tc>
          <w:tcPr>
            <w:tcW w:w="3476" w:type="dxa"/>
            <w:vAlign w:val="center"/>
          </w:tcPr>
          <w:p w:rsidR="00F17A6D" w:rsidRPr="00F70846" w:rsidRDefault="00F17A6D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6</w:t>
            </w:r>
          </w:p>
        </w:tc>
      </w:tr>
      <w:tr w:rsidR="00F70846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70846" w:rsidRPr="00F70846" w:rsidRDefault="00F70846" w:rsidP="00411E4D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Предел текучести 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lang w:val="en-US"/>
              </w:rPr>
              <w:t>YP</w:t>
            </w:r>
          </w:p>
        </w:tc>
        <w:tc>
          <w:tcPr>
            <w:tcW w:w="1485" w:type="dxa"/>
            <w:vAlign w:val="center"/>
          </w:tcPr>
          <w:p w:rsidR="00F70846" w:rsidRPr="00F70846" w:rsidRDefault="00F70846" w:rsidP="00411E4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фнт</w:t>
            </w:r>
            <w:proofErr w:type="spellEnd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/100фт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2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476" w:type="dxa"/>
            <w:vAlign w:val="center"/>
          </w:tcPr>
          <w:p w:rsidR="00F70846" w:rsidRPr="00F70846" w:rsidRDefault="00F70846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  <w:lang w:val="en-US"/>
              </w:rPr>
              <w:t>~</w:t>
            </w:r>
            <w:r w:rsidR="005D56C8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6</w:t>
            </w:r>
          </w:p>
        </w:tc>
      </w:tr>
      <w:tr w:rsidR="00F70846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70846" w:rsidRPr="00F70846" w:rsidRDefault="00F70846" w:rsidP="004C6139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СНС 10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bscript"/>
              </w:rPr>
              <w:t>с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/10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bscript"/>
              </w:rPr>
              <w:t>мин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485" w:type="dxa"/>
            <w:vAlign w:val="center"/>
          </w:tcPr>
          <w:p w:rsidR="00F70846" w:rsidRPr="00F70846" w:rsidRDefault="00F70846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фнт</w:t>
            </w:r>
            <w:proofErr w:type="spellEnd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/100фт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76" w:type="dxa"/>
            <w:vAlign w:val="center"/>
          </w:tcPr>
          <w:p w:rsidR="00F70846" w:rsidRPr="00F70846" w:rsidRDefault="005D56C8" w:rsidP="005D56C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>
              <w:rPr>
                <w:rFonts w:ascii="DINPro-Regular" w:hAnsi="DINPro-Regular" w:cs="Arial"/>
                <w:b w:val="0"/>
                <w:sz w:val="24"/>
                <w:szCs w:val="24"/>
              </w:rPr>
              <w:t>не менее 2</w:t>
            </w:r>
            <w:r w:rsidR="00F70846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</w:t>
            </w:r>
            <w:r>
              <w:rPr>
                <w:rFonts w:ascii="DINPro-Regular" w:hAnsi="DINPro-Regular" w:cs="Arial"/>
                <w:b w:val="0"/>
                <w:sz w:val="24"/>
                <w:szCs w:val="24"/>
              </w:rPr>
              <w:t>8</w:t>
            </w:r>
          </w:p>
        </w:tc>
      </w:tr>
      <w:tr w:rsidR="006626F8" w:rsidRPr="00F70846" w:rsidTr="00F70846">
        <w:trPr>
          <w:jc w:val="center"/>
        </w:trPr>
        <w:tc>
          <w:tcPr>
            <w:tcW w:w="9634" w:type="dxa"/>
            <w:gridSpan w:val="3"/>
            <w:vAlign w:val="center"/>
          </w:tcPr>
          <w:p w:rsidR="006626F8" w:rsidRPr="00F70846" w:rsidRDefault="006626F8" w:rsidP="00545D0E">
            <w:pPr>
              <w:pStyle w:val="a7"/>
              <w:jc w:val="center"/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  <w:t>ФИЗ</w:t>
            </w:r>
            <w:r w:rsidR="00545D0E" w:rsidRPr="00F70846"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  <w:t>ИКО-МЕХАНИЧЕСКИЕ ХАРАКТЕРИСТИКИ</w:t>
            </w:r>
          </w:p>
        </w:tc>
      </w:tr>
      <w:tr w:rsidR="00F17A6D" w:rsidRPr="00F70846" w:rsidTr="00F70846">
        <w:trPr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411E4D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Выход глинистого раствора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/т</w:t>
            </w:r>
          </w:p>
        </w:tc>
        <w:tc>
          <w:tcPr>
            <w:tcW w:w="3476" w:type="dxa"/>
            <w:vAlign w:val="center"/>
          </w:tcPr>
          <w:p w:rsidR="00F17A6D" w:rsidRPr="00F70846" w:rsidRDefault="005D56C8" w:rsidP="00411E4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>
              <w:rPr>
                <w:rFonts w:ascii="DINPro-Regular" w:hAnsi="DINPro-Regular" w:cs="Arial"/>
                <w:b w:val="0"/>
                <w:sz w:val="24"/>
                <w:szCs w:val="24"/>
              </w:rPr>
              <w:t>30-35</w:t>
            </w:r>
          </w:p>
        </w:tc>
      </w:tr>
      <w:tr w:rsidR="00545D0E" w:rsidRPr="00F70846" w:rsidTr="00F70846">
        <w:trPr>
          <w:jc w:val="center"/>
        </w:trPr>
        <w:tc>
          <w:tcPr>
            <w:tcW w:w="4673" w:type="dxa"/>
            <w:vAlign w:val="center"/>
          </w:tcPr>
          <w:p w:rsidR="00545D0E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Показатель статической фильтрации</w:t>
            </w:r>
          </w:p>
        </w:tc>
        <w:tc>
          <w:tcPr>
            <w:tcW w:w="1485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6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более 15,0</w:t>
            </w:r>
          </w:p>
        </w:tc>
      </w:tr>
      <w:tr w:rsidR="006626F8" w:rsidRPr="00F70846" w:rsidTr="00F70846">
        <w:trPr>
          <w:jc w:val="center"/>
        </w:trPr>
        <w:tc>
          <w:tcPr>
            <w:tcW w:w="4673" w:type="dxa"/>
            <w:vAlign w:val="center"/>
          </w:tcPr>
          <w:p w:rsidR="006626F8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Массовая доля влаги</w:t>
            </w:r>
          </w:p>
        </w:tc>
        <w:tc>
          <w:tcPr>
            <w:tcW w:w="1485" w:type="dxa"/>
            <w:vAlign w:val="center"/>
          </w:tcPr>
          <w:p w:rsidR="006626F8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3476" w:type="dxa"/>
            <w:vAlign w:val="center"/>
          </w:tcPr>
          <w:p w:rsidR="006626F8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8,0 – 10,0</w:t>
            </w:r>
          </w:p>
        </w:tc>
      </w:tr>
      <w:tr w:rsidR="00545D0E" w:rsidRPr="00F70846" w:rsidTr="00F70846">
        <w:trPr>
          <w:jc w:val="center"/>
        </w:trPr>
        <w:tc>
          <w:tcPr>
            <w:tcW w:w="4673" w:type="dxa"/>
            <w:vAlign w:val="center"/>
          </w:tcPr>
          <w:p w:rsidR="00545D0E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Массовая доля песчаной фракции: остаток на сите с сеткой № 0071</w:t>
            </w:r>
          </w:p>
        </w:tc>
        <w:tc>
          <w:tcPr>
            <w:tcW w:w="1485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3476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более 0,1</w:t>
            </w:r>
          </w:p>
        </w:tc>
      </w:tr>
    </w:tbl>
    <w:p w:rsidR="00E5337F" w:rsidRDefault="00E5337F" w:rsidP="00437D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E5337F" w:rsidSect="00777431">
      <w:type w:val="continuous"/>
      <w:pgSz w:w="11906" w:h="16838"/>
      <w:pgMar w:top="426" w:right="566" w:bottom="709" w:left="1134" w:header="0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4E" w:rsidRDefault="008F274E" w:rsidP="006A1B88">
      <w:pPr>
        <w:spacing w:after="0" w:line="240" w:lineRule="auto"/>
      </w:pPr>
      <w:r>
        <w:separator/>
      </w:r>
    </w:p>
  </w:endnote>
  <w:endnote w:type="continuationSeparator" w:id="0">
    <w:p w:rsidR="008F274E" w:rsidRDefault="008F274E" w:rsidP="006A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-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95133"/>
      <w:docPartObj>
        <w:docPartGallery w:val="Page Numbers (Bottom of Page)"/>
        <w:docPartUnique/>
      </w:docPartObj>
    </w:sdtPr>
    <w:sdtEndPr/>
    <w:sdtContent>
      <w:p w:rsidR="00437D10" w:rsidRDefault="00437D1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7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4E" w:rsidRDefault="008F274E" w:rsidP="006A1B88">
      <w:pPr>
        <w:spacing w:after="0" w:line="240" w:lineRule="auto"/>
      </w:pPr>
      <w:r>
        <w:separator/>
      </w:r>
    </w:p>
  </w:footnote>
  <w:footnote w:type="continuationSeparator" w:id="0">
    <w:p w:rsidR="008F274E" w:rsidRDefault="008F274E" w:rsidP="006A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88" w:rsidRDefault="00D33152" w:rsidP="006A1B88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1E523" wp14:editId="25A060B5">
              <wp:simplePos x="0" y="0"/>
              <wp:positionH relativeFrom="page">
                <wp:posOffset>5305425</wp:posOffset>
              </wp:positionH>
              <wp:positionV relativeFrom="margin">
                <wp:posOffset>1881505</wp:posOffset>
              </wp:positionV>
              <wp:extent cx="4156074" cy="288000"/>
              <wp:effectExtent l="0" t="8255" r="8255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156074" cy="288000"/>
                      </a:xfrm>
                      <a:prstGeom prst="rect">
                        <a:avLst/>
                      </a:prstGeom>
                      <a:solidFill>
                        <a:srgbClr val="D82E2E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33152" w:rsidRPr="00412CF0" w:rsidRDefault="00060263" w:rsidP="00D3315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60263">
                            <w:rPr>
                              <w:color w:val="FFFFFF" w:themeColor="background1"/>
                              <w:lang w:bidi="en-GB"/>
                            </w:rPr>
                            <w:t>Реагенты для бурения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36000" rIns="360000" bIns="7200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E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7.75pt;margin-top:148.15pt;width:327.25pt;height:22.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" fillcolor="#d82e2e" stroked="f" strokeweight=".5pt">
              <v:textbox style="mso-fit-shape-to-text:t" inset="10mm,1mm,10mm,2mm">
                <w:txbxContent>
                  <w:p w:rsidR="00D33152" w:rsidRPr="00412CF0" w:rsidRDefault="00060263" w:rsidP="00D33152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060263">
                      <w:rPr>
                        <w:color w:val="FFFFFF" w:themeColor="background1"/>
                        <w:lang w:bidi="en-GB"/>
                      </w:rPr>
                      <w:t>Реагенты для бурения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55" w:rsidRDefault="002C6355" w:rsidP="00A07319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5951B" wp14:editId="2CA5F27E">
              <wp:simplePos x="0" y="0"/>
              <wp:positionH relativeFrom="page">
                <wp:posOffset>5301299</wp:posOffset>
              </wp:positionH>
              <wp:positionV relativeFrom="margin">
                <wp:posOffset>1926704</wp:posOffset>
              </wp:positionV>
              <wp:extent cx="4156074" cy="288000"/>
              <wp:effectExtent l="0" t="8255" r="8255" b="8255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156074" cy="288000"/>
                      </a:xfrm>
                      <a:prstGeom prst="rect">
                        <a:avLst/>
                      </a:prstGeom>
                      <a:solidFill>
                        <a:srgbClr val="D82E2E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6355" w:rsidRPr="00412CF0" w:rsidRDefault="00D76FDF" w:rsidP="002C635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bidi="en-GB"/>
                            </w:rPr>
                            <w:t>Реагенты для бурения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36000" rIns="360000" bIns="7200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595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7.45pt;margin-top:151.7pt;width:327.25pt;height:22.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" fillcolor="#d82e2e" stroked="f" strokeweight=".5pt">
              <v:textbox style="mso-fit-shape-to-text:t" inset="10mm,1mm,10mm,2mm">
                <w:txbxContent>
                  <w:p w:rsidR="002C6355" w:rsidRPr="00412CF0" w:rsidRDefault="00D76FDF" w:rsidP="002C6355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lang w:bidi="en-GB"/>
                      </w:rPr>
                      <w:t>Реагенты для бурения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3836"/>
    <w:multiLevelType w:val="hybridMultilevel"/>
    <w:tmpl w:val="71AEC006"/>
    <w:lvl w:ilvl="0" w:tplc="0DC6AE0C">
      <w:start w:val="1"/>
      <w:numFmt w:val="bullet"/>
      <w:suff w:val="space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572B"/>
    <w:multiLevelType w:val="hybridMultilevel"/>
    <w:tmpl w:val="C9F4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74A3"/>
    <w:multiLevelType w:val="hybridMultilevel"/>
    <w:tmpl w:val="0B3EBBB0"/>
    <w:lvl w:ilvl="0" w:tplc="EA6CE8B6">
      <w:start w:val="1"/>
      <w:numFmt w:val="bullet"/>
      <w:suff w:val="space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F2"/>
    <w:rsid w:val="000003AF"/>
    <w:rsid w:val="00004D30"/>
    <w:rsid w:val="00010A6F"/>
    <w:rsid w:val="000137AA"/>
    <w:rsid w:val="000155BD"/>
    <w:rsid w:val="000167E4"/>
    <w:rsid w:val="00041544"/>
    <w:rsid w:val="00044974"/>
    <w:rsid w:val="000459ED"/>
    <w:rsid w:val="0006010C"/>
    <w:rsid w:val="00060263"/>
    <w:rsid w:val="000630A0"/>
    <w:rsid w:val="00077EAA"/>
    <w:rsid w:val="00082AFF"/>
    <w:rsid w:val="000839C7"/>
    <w:rsid w:val="000849A7"/>
    <w:rsid w:val="00086CF4"/>
    <w:rsid w:val="00096E38"/>
    <w:rsid w:val="000B1F1E"/>
    <w:rsid w:val="000B26EC"/>
    <w:rsid w:val="000B336D"/>
    <w:rsid w:val="000B3F4A"/>
    <w:rsid w:val="000B53C6"/>
    <w:rsid w:val="000B758A"/>
    <w:rsid w:val="000C18E6"/>
    <w:rsid w:val="000D1E85"/>
    <w:rsid w:val="000E1334"/>
    <w:rsid w:val="000E16EA"/>
    <w:rsid w:val="000E5BE5"/>
    <w:rsid w:val="000F318C"/>
    <w:rsid w:val="001016D3"/>
    <w:rsid w:val="001223A1"/>
    <w:rsid w:val="00125A12"/>
    <w:rsid w:val="00130806"/>
    <w:rsid w:val="001330B3"/>
    <w:rsid w:val="00137B64"/>
    <w:rsid w:val="00137E26"/>
    <w:rsid w:val="00140B28"/>
    <w:rsid w:val="00145D24"/>
    <w:rsid w:val="001460C1"/>
    <w:rsid w:val="001471EA"/>
    <w:rsid w:val="00147AA3"/>
    <w:rsid w:val="00157F02"/>
    <w:rsid w:val="00170066"/>
    <w:rsid w:val="00171944"/>
    <w:rsid w:val="00175355"/>
    <w:rsid w:val="00177365"/>
    <w:rsid w:val="00183385"/>
    <w:rsid w:val="001850B5"/>
    <w:rsid w:val="00185C34"/>
    <w:rsid w:val="00187E16"/>
    <w:rsid w:val="00190E4E"/>
    <w:rsid w:val="0019341C"/>
    <w:rsid w:val="00196C0E"/>
    <w:rsid w:val="001A3549"/>
    <w:rsid w:val="001A562C"/>
    <w:rsid w:val="001C2EF3"/>
    <w:rsid w:val="001C4A47"/>
    <w:rsid w:val="001C4F26"/>
    <w:rsid w:val="001E18CC"/>
    <w:rsid w:val="001F478A"/>
    <w:rsid w:val="001F69E1"/>
    <w:rsid w:val="001F7B68"/>
    <w:rsid w:val="00210A95"/>
    <w:rsid w:val="002153A9"/>
    <w:rsid w:val="00216FF5"/>
    <w:rsid w:val="00224360"/>
    <w:rsid w:val="00227451"/>
    <w:rsid w:val="00237332"/>
    <w:rsid w:val="002522F7"/>
    <w:rsid w:val="00266BA6"/>
    <w:rsid w:val="002768F8"/>
    <w:rsid w:val="00292DB1"/>
    <w:rsid w:val="002A7E9D"/>
    <w:rsid w:val="002C2614"/>
    <w:rsid w:val="002C4AA2"/>
    <w:rsid w:val="002C6355"/>
    <w:rsid w:val="002C6770"/>
    <w:rsid w:val="002D3D57"/>
    <w:rsid w:val="002D4F7E"/>
    <w:rsid w:val="002E58F4"/>
    <w:rsid w:val="002F6B40"/>
    <w:rsid w:val="00300612"/>
    <w:rsid w:val="00301975"/>
    <w:rsid w:val="003216B1"/>
    <w:rsid w:val="00322433"/>
    <w:rsid w:val="0032329C"/>
    <w:rsid w:val="003275C1"/>
    <w:rsid w:val="0033754E"/>
    <w:rsid w:val="00351704"/>
    <w:rsid w:val="003526FE"/>
    <w:rsid w:val="00354557"/>
    <w:rsid w:val="00356BA8"/>
    <w:rsid w:val="003809DF"/>
    <w:rsid w:val="00381626"/>
    <w:rsid w:val="003828BC"/>
    <w:rsid w:val="003854F2"/>
    <w:rsid w:val="00386F11"/>
    <w:rsid w:val="0039444B"/>
    <w:rsid w:val="00395EFE"/>
    <w:rsid w:val="003A5595"/>
    <w:rsid w:val="003B0633"/>
    <w:rsid w:val="003B09EF"/>
    <w:rsid w:val="003B2CCD"/>
    <w:rsid w:val="003B6D2A"/>
    <w:rsid w:val="003B72C4"/>
    <w:rsid w:val="003C0446"/>
    <w:rsid w:val="003C3CE3"/>
    <w:rsid w:val="003D254C"/>
    <w:rsid w:val="003E34AB"/>
    <w:rsid w:val="003E3515"/>
    <w:rsid w:val="003E38E6"/>
    <w:rsid w:val="003E4AD9"/>
    <w:rsid w:val="003F3118"/>
    <w:rsid w:val="00400FB6"/>
    <w:rsid w:val="00402995"/>
    <w:rsid w:val="0040627E"/>
    <w:rsid w:val="004115DC"/>
    <w:rsid w:val="00411E4D"/>
    <w:rsid w:val="00417784"/>
    <w:rsid w:val="0042242D"/>
    <w:rsid w:val="0042292E"/>
    <w:rsid w:val="00434D19"/>
    <w:rsid w:val="00437D10"/>
    <w:rsid w:val="00445EDB"/>
    <w:rsid w:val="00461B9B"/>
    <w:rsid w:val="00474091"/>
    <w:rsid w:val="00491D14"/>
    <w:rsid w:val="00492263"/>
    <w:rsid w:val="004C6139"/>
    <w:rsid w:val="004C7B01"/>
    <w:rsid w:val="004E2542"/>
    <w:rsid w:val="004E3AEA"/>
    <w:rsid w:val="004F014E"/>
    <w:rsid w:val="004F32E0"/>
    <w:rsid w:val="004F4F47"/>
    <w:rsid w:val="004F5FBA"/>
    <w:rsid w:val="005018AA"/>
    <w:rsid w:val="00510E44"/>
    <w:rsid w:val="005218B8"/>
    <w:rsid w:val="00524EB1"/>
    <w:rsid w:val="00537C0C"/>
    <w:rsid w:val="00540176"/>
    <w:rsid w:val="00545D0E"/>
    <w:rsid w:val="0054635D"/>
    <w:rsid w:val="00550C1C"/>
    <w:rsid w:val="005514DA"/>
    <w:rsid w:val="005626F3"/>
    <w:rsid w:val="00573C83"/>
    <w:rsid w:val="00577CFC"/>
    <w:rsid w:val="005801FE"/>
    <w:rsid w:val="005848BB"/>
    <w:rsid w:val="00586FDF"/>
    <w:rsid w:val="005943B8"/>
    <w:rsid w:val="00596F37"/>
    <w:rsid w:val="00597CF2"/>
    <w:rsid w:val="005B696D"/>
    <w:rsid w:val="005B7084"/>
    <w:rsid w:val="005D1887"/>
    <w:rsid w:val="005D56C8"/>
    <w:rsid w:val="005D5E61"/>
    <w:rsid w:val="006047F5"/>
    <w:rsid w:val="006048FC"/>
    <w:rsid w:val="00614A64"/>
    <w:rsid w:val="00631BFE"/>
    <w:rsid w:val="006321C6"/>
    <w:rsid w:val="00654618"/>
    <w:rsid w:val="006547D3"/>
    <w:rsid w:val="006626F8"/>
    <w:rsid w:val="0066391D"/>
    <w:rsid w:val="00671BB3"/>
    <w:rsid w:val="00677102"/>
    <w:rsid w:val="00677908"/>
    <w:rsid w:val="00677ADD"/>
    <w:rsid w:val="00685F46"/>
    <w:rsid w:val="00691619"/>
    <w:rsid w:val="006A0584"/>
    <w:rsid w:val="006A05CD"/>
    <w:rsid w:val="006A1B88"/>
    <w:rsid w:val="006B1339"/>
    <w:rsid w:val="006B541C"/>
    <w:rsid w:val="006B7E16"/>
    <w:rsid w:val="006C1B64"/>
    <w:rsid w:val="006C1E04"/>
    <w:rsid w:val="006D3AAF"/>
    <w:rsid w:val="006D7D1C"/>
    <w:rsid w:val="006D7ECD"/>
    <w:rsid w:val="006E730C"/>
    <w:rsid w:val="006F477A"/>
    <w:rsid w:val="006F48F6"/>
    <w:rsid w:val="006F551A"/>
    <w:rsid w:val="007033B0"/>
    <w:rsid w:val="007036B6"/>
    <w:rsid w:val="00703CF2"/>
    <w:rsid w:val="007046DC"/>
    <w:rsid w:val="00704EC3"/>
    <w:rsid w:val="0070579E"/>
    <w:rsid w:val="00707683"/>
    <w:rsid w:val="007076D5"/>
    <w:rsid w:val="007272F8"/>
    <w:rsid w:val="00732543"/>
    <w:rsid w:val="00736C78"/>
    <w:rsid w:val="00740E0A"/>
    <w:rsid w:val="0074269B"/>
    <w:rsid w:val="0074376F"/>
    <w:rsid w:val="0074438C"/>
    <w:rsid w:val="007667E7"/>
    <w:rsid w:val="007668A8"/>
    <w:rsid w:val="00772AEA"/>
    <w:rsid w:val="00773E2C"/>
    <w:rsid w:val="00777431"/>
    <w:rsid w:val="00780A5F"/>
    <w:rsid w:val="007821AA"/>
    <w:rsid w:val="0079231D"/>
    <w:rsid w:val="007A088E"/>
    <w:rsid w:val="007A1352"/>
    <w:rsid w:val="007A21E4"/>
    <w:rsid w:val="007A61E7"/>
    <w:rsid w:val="007B0ABC"/>
    <w:rsid w:val="007B1321"/>
    <w:rsid w:val="007B2103"/>
    <w:rsid w:val="007B4A1D"/>
    <w:rsid w:val="007B7983"/>
    <w:rsid w:val="007C4E19"/>
    <w:rsid w:val="007D0005"/>
    <w:rsid w:val="007E1E04"/>
    <w:rsid w:val="00801316"/>
    <w:rsid w:val="00804EBE"/>
    <w:rsid w:val="00812B21"/>
    <w:rsid w:val="00813320"/>
    <w:rsid w:val="00813ECF"/>
    <w:rsid w:val="00826955"/>
    <w:rsid w:val="008343CA"/>
    <w:rsid w:val="008357B6"/>
    <w:rsid w:val="00866A0E"/>
    <w:rsid w:val="00894501"/>
    <w:rsid w:val="00894669"/>
    <w:rsid w:val="00897FBC"/>
    <w:rsid w:val="008A063C"/>
    <w:rsid w:val="008A2F39"/>
    <w:rsid w:val="008B0C70"/>
    <w:rsid w:val="008D23ED"/>
    <w:rsid w:val="008D7382"/>
    <w:rsid w:val="008E2E96"/>
    <w:rsid w:val="008E5B2D"/>
    <w:rsid w:val="008E7F83"/>
    <w:rsid w:val="008F1FE4"/>
    <w:rsid w:val="008F274E"/>
    <w:rsid w:val="00901BB1"/>
    <w:rsid w:val="00901DFB"/>
    <w:rsid w:val="00902645"/>
    <w:rsid w:val="00906CB2"/>
    <w:rsid w:val="00916D37"/>
    <w:rsid w:val="00930833"/>
    <w:rsid w:val="00931396"/>
    <w:rsid w:val="00935A3F"/>
    <w:rsid w:val="009429E0"/>
    <w:rsid w:val="00946020"/>
    <w:rsid w:val="00951E2E"/>
    <w:rsid w:val="00955088"/>
    <w:rsid w:val="00956565"/>
    <w:rsid w:val="00963020"/>
    <w:rsid w:val="00965F40"/>
    <w:rsid w:val="00970244"/>
    <w:rsid w:val="00971269"/>
    <w:rsid w:val="009738F2"/>
    <w:rsid w:val="0097676D"/>
    <w:rsid w:val="00981E21"/>
    <w:rsid w:val="00985916"/>
    <w:rsid w:val="0099145D"/>
    <w:rsid w:val="00995514"/>
    <w:rsid w:val="00996095"/>
    <w:rsid w:val="009C1C95"/>
    <w:rsid w:val="009C7BE8"/>
    <w:rsid w:val="009D0620"/>
    <w:rsid w:val="009D65D8"/>
    <w:rsid w:val="009E250E"/>
    <w:rsid w:val="00A01D06"/>
    <w:rsid w:val="00A07319"/>
    <w:rsid w:val="00A139F1"/>
    <w:rsid w:val="00A24554"/>
    <w:rsid w:val="00A25445"/>
    <w:rsid w:val="00A27812"/>
    <w:rsid w:val="00A30232"/>
    <w:rsid w:val="00A312F4"/>
    <w:rsid w:val="00A3325C"/>
    <w:rsid w:val="00A361AD"/>
    <w:rsid w:val="00A403F1"/>
    <w:rsid w:val="00A4616A"/>
    <w:rsid w:val="00A5075A"/>
    <w:rsid w:val="00A72BE6"/>
    <w:rsid w:val="00A76C92"/>
    <w:rsid w:val="00A82389"/>
    <w:rsid w:val="00A8577C"/>
    <w:rsid w:val="00A90372"/>
    <w:rsid w:val="00A9324C"/>
    <w:rsid w:val="00A95195"/>
    <w:rsid w:val="00A96BEE"/>
    <w:rsid w:val="00AB5BFD"/>
    <w:rsid w:val="00AB7B7C"/>
    <w:rsid w:val="00AC0834"/>
    <w:rsid w:val="00AC5E28"/>
    <w:rsid w:val="00AD2270"/>
    <w:rsid w:val="00AD3847"/>
    <w:rsid w:val="00AD55C7"/>
    <w:rsid w:val="00AE0DAB"/>
    <w:rsid w:val="00AE1D22"/>
    <w:rsid w:val="00AF3439"/>
    <w:rsid w:val="00B04538"/>
    <w:rsid w:val="00B049C2"/>
    <w:rsid w:val="00B312E5"/>
    <w:rsid w:val="00B3358D"/>
    <w:rsid w:val="00B350D4"/>
    <w:rsid w:val="00B5119C"/>
    <w:rsid w:val="00B5395F"/>
    <w:rsid w:val="00B609A6"/>
    <w:rsid w:val="00B70005"/>
    <w:rsid w:val="00B716EB"/>
    <w:rsid w:val="00B82129"/>
    <w:rsid w:val="00B86FF5"/>
    <w:rsid w:val="00B90CA6"/>
    <w:rsid w:val="00B973FA"/>
    <w:rsid w:val="00BA3A8E"/>
    <w:rsid w:val="00BA66FF"/>
    <w:rsid w:val="00BA7052"/>
    <w:rsid w:val="00BC1427"/>
    <w:rsid w:val="00BD0E7F"/>
    <w:rsid w:val="00BD3806"/>
    <w:rsid w:val="00BD4FD3"/>
    <w:rsid w:val="00BE61F5"/>
    <w:rsid w:val="00BF7F86"/>
    <w:rsid w:val="00C001C6"/>
    <w:rsid w:val="00C04FC3"/>
    <w:rsid w:val="00C054F2"/>
    <w:rsid w:val="00C069F6"/>
    <w:rsid w:val="00C20E63"/>
    <w:rsid w:val="00C21E46"/>
    <w:rsid w:val="00C25DC2"/>
    <w:rsid w:val="00C364B2"/>
    <w:rsid w:val="00C365E2"/>
    <w:rsid w:val="00C40BD3"/>
    <w:rsid w:val="00C4314D"/>
    <w:rsid w:val="00C56B2D"/>
    <w:rsid w:val="00C56DAC"/>
    <w:rsid w:val="00C61A04"/>
    <w:rsid w:val="00C82F67"/>
    <w:rsid w:val="00C86995"/>
    <w:rsid w:val="00C93E58"/>
    <w:rsid w:val="00C94E8E"/>
    <w:rsid w:val="00CA0961"/>
    <w:rsid w:val="00CA3501"/>
    <w:rsid w:val="00CA6E00"/>
    <w:rsid w:val="00CB1B73"/>
    <w:rsid w:val="00CC78AE"/>
    <w:rsid w:val="00CD2467"/>
    <w:rsid w:val="00CD3DB3"/>
    <w:rsid w:val="00CE759B"/>
    <w:rsid w:val="00CF0568"/>
    <w:rsid w:val="00CF3004"/>
    <w:rsid w:val="00D0009E"/>
    <w:rsid w:val="00D01F51"/>
    <w:rsid w:val="00D0678F"/>
    <w:rsid w:val="00D12B53"/>
    <w:rsid w:val="00D13F3A"/>
    <w:rsid w:val="00D17ECA"/>
    <w:rsid w:val="00D224A8"/>
    <w:rsid w:val="00D22C89"/>
    <w:rsid w:val="00D23C9F"/>
    <w:rsid w:val="00D23CE8"/>
    <w:rsid w:val="00D24BC9"/>
    <w:rsid w:val="00D24E55"/>
    <w:rsid w:val="00D2666B"/>
    <w:rsid w:val="00D33152"/>
    <w:rsid w:val="00D53EDB"/>
    <w:rsid w:val="00D62BC6"/>
    <w:rsid w:val="00D71C6B"/>
    <w:rsid w:val="00D73EFA"/>
    <w:rsid w:val="00D76FDF"/>
    <w:rsid w:val="00D77348"/>
    <w:rsid w:val="00D8734F"/>
    <w:rsid w:val="00D93B1D"/>
    <w:rsid w:val="00D94925"/>
    <w:rsid w:val="00D94B69"/>
    <w:rsid w:val="00D94D8C"/>
    <w:rsid w:val="00DA39DE"/>
    <w:rsid w:val="00DA3F6C"/>
    <w:rsid w:val="00DA4FB7"/>
    <w:rsid w:val="00DB493E"/>
    <w:rsid w:val="00DC6440"/>
    <w:rsid w:val="00DD1A82"/>
    <w:rsid w:val="00DD239A"/>
    <w:rsid w:val="00DD4BCE"/>
    <w:rsid w:val="00DE0224"/>
    <w:rsid w:val="00DE0921"/>
    <w:rsid w:val="00DE4535"/>
    <w:rsid w:val="00DF03EA"/>
    <w:rsid w:val="00DF6C4D"/>
    <w:rsid w:val="00E012BD"/>
    <w:rsid w:val="00E03E9F"/>
    <w:rsid w:val="00E24D0E"/>
    <w:rsid w:val="00E2632D"/>
    <w:rsid w:val="00E310AA"/>
    <w:rsid w:val="00E426FB"/>
    <w:rsid w:val="00E44273"/>
    <w:rsid w:val="00E5337F"/>
    <w:rsid w:val="00E5752D"/>
    <w:rsid w:val="00E62467"/>
    <w:rsid w:val="00E745F0"/>
    <w:rsid w:val="00E94C68"/>
    <w:rsid w:val="00E95CD2"/>
    <w:rsid w:val="00EA01EA"/>
    <w:rsid w:val="00EA0D10"/>
    <w:rsid w:val="00EB4613"/>
    <w:rsid w:val="00EC0620"/>
    <w:rsid w:val="00ED22D5"/>
    <w:rsid w:val="00ED351E"/>
    <w:rsid w:val="00ED38F2"/>
    <w:rsid w:val="00ED560F"/>
    <w:rsid w:val="00ED6CB4"/>
    <w:rsid w:val="00EF11F6"/>
    <w:rsid w:val="00EF2F8E"/>
    <w:rsid w:val="00EF67AE"/>
    <w:rsid w:val="00F0137E"/>
    <w:rsid w:val="00F042BF"/>
    <w:rsid w:val="00F04EA7"/>
    <w:rsid w:val="00F17A6D"/>
    <w:rsid w:val="00F20444"/>
    <w:rsid w:val="00F20657"/>
    <w:rsid w:val="00F23730"/>
    <w:rsid w:val="00F303FB"/>
    <w:rsid w:val="00F32B0E"/>
    <w:rsid w:val="00F36F02"/>
    <w:rsid w:val="00F4475A"/>
    <w:rsid w:val="00F46881"/>
    <w:rsid w:val="00F60E07"/>
    <w:rsid w:val="00F62D66"/>
    <w:rsid w:val="00F6417D"/>
    <w:rsid w:val="00F643E9"/>
    <w:rsid w:val="00F70846"/>
    <w:rsid w:val="00F80A98"/>
    <w:rsid w:val="00F84E46"/>
    <w:rsid w:val="00F90A8C"/>
    <w:rsid w:val="00F959CD"/>
    <w:rsid w:val="00FA0494"/>
    <w:rsid w:val="00FA3E13"/>
    <w:rsid w:val="00FB311D"/>
    <w:rsid w:val="00FC2841"/>
    <w:rsid w:val="00FC3339"/>
    <w:rsid w:val="00FC5B00"/>
    <w:rsid w:val="00FD0C8B"/>
    <w:rsid w:val="00FE7CE2"/>
    <w:rsid w:val="00FF001C"/>
    <w:rsid w:val="00FF2713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B73E3B"/>
  <w15:docId w15:val="{D305D43E-1D91-47E1-852B-DA12A4A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2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3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E7"/>
    <w:pPr>
      <w:ind w:left="720"/>
      <w:contextualSpacing/>
    </w:pPr>
  </w:style>
  <w:style w:type="table" w:styleId="a4">
    <w:name w:val="Table Grid"/>
    <w:basedOn w:val="a1"/>
    <w:uiPriority w:val="39"/>
    <w:rsid w:val="0065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42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3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CE759B"/>
    <w:pPr>
      <w:spacing w:after="0" w:line="240" w:lineRule="auto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8">
    <w:name w:val="Основной текст Знак"/>
    <w:basedOn w:val="a0"/>
    <w:link w:val="a7"/>
    <w:rsid w:val="00CE759B"/>
    <w:rPr>
      <w:rFonts w:ascii="Times New Roman" w:eastAsia="Times New Roman" w:hAnsi="Times New Roman" w:cs="Times New Roman"/>
      <w:b/>
      <w:lang w:eastAsia="ru-RU"/>
    </w:rPr>
  </w:style>
  <w:style w:type="paragraph" w:styleId="a9">
    <w:name w:val="header"/>
    <w:basedOn w:val="a"/>
    <w:link w:val="aa"/>
    <w:uiPriority w:val="99"/>
    <w:unhideWhenUsed/>
    <w:rsid w:val="006A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1B88"/>
  </w:style>
  <w:style w:type="paragraph" w:styleId="ab">
    <w:name w:val="footer"/>
    <w:basedOn w:val="a"/>
    <w:link w:val="ac"/>
    <w:uiPriority w:val="99"/>
    <w:unhideWhenUsed/>
    <w:rsid w:val="006A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1B88"/>
  </w:style>
  <w:style w:type="character" w:customStyle="1" w:styleId="10">
    <w:name w:val="Заголовок 1 Знак"/>
    <w:basedOn w:val="a0"/>
    <w:link w:val="1"/>
    <w:uiPriority w:val="9"/>
    <w:rsid w:val="00445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22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D22C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D22C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970A-F779-4E11-B8B9-75B95E97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</dc:creator>
  <cp:lastModifiedBy>Александр Александрович Клименко</cp:lastModifiedBy>
  <cp:revision>3</cp:revision>
  <cp:lastPrinted>2022-07-27T06:58:00Z</cp:lastPrinted>
  <dcterms:created xsi:type="dcterms:W3CDTF">2022-07-27T15:13:00Z</dcterms:created>
  <dcterms:modified xsi:type="dcterms:W3CDTF">2022-07-27T15:16:00Z</dcterms:modified>
</cp:coreProperties>
</file>